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210"/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提前批面试成绩使用</w:t>
      </w:r>
    </w:p>
    <w:bookmarkEnd w:id="0"/>
    <w:p>
      <w:pPr>
        <w:spacing w:line="360" w:lineRule="auto"/>
        <w:ind w:right="210"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参加提前批面试的考生通过面试将会获得杭州电子科技大学MBA2019年一志愿报考条件下的优先录取资格。在复试环节时只需参加政审和政治笔试，无需再进行面试。</w:t>
      </w:r>
    </w:p>
    <w:p>
      <w:pPr>
        <w:spacing w:line="360" w:lineRule="auto"/>
        <w:ind w:right="210" w:firstLine="42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参加提前批面试的考生，经专家组面试及综合背景评估，给予考生A或B资格：</w:t>
      </w:r>
    </w:p>
    <w:p>
      <w:pPr>
        <w:spacing w:line="360" w:lineRule="auto"/>
        <w:ind w:right="210"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（1）获得A资格的考生，联考成绩只需达到杭州电子科技大学复试线，并通过政审和政治笔试后即可直接获得拟录取资格；</w:t>
      </w:r>
    </w:p>
    <w:p>
      <w:pPr>
        <w:spacing w:line="360" w:lineRule="auto"/>
        <w:ind w:right="210"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（2）A资格有效期可保留到第二年。持前一年提前批A资格的考生，参加下一年全国联考，不需再进行提前批面试，但需要在下一年的提前批申报时间内，重新提交个人申请资料；</w:t>
      </w:r>
    </w:p>
    <w:p>
      <w:pPr>
        <w:spacing w:line="360" w:lineRule="auto"/>
        <w:ind w:right="210"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（3）获得提前批B资格的考生，联考成绩达到杭州电子科技大学复试线，与正常批考生一起根据总成绩（联考成绩+提前批成绩或复试成绩）进行综合排名，最终择优录取；</w:t>
      </w:r>
    </w:p>
    <w:p>
      <w:pPr>
        <w:spacing w:line="360" w:lineRule="auto"/>
        <w:ind w:right="210" w:firstLine="4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（4）所有未通过提前批资格申请的考生，均可按照正常批报考。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E6880"/>
    <w:rsid w:val="25AE688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2018-07-13T05:26:00Z</dcterms:created>
  <dc:creator>应波</dc:creator>
  <cp:lastModifiedBy>应波</cp:lastModifiedBy>
  <dcterms:modified xsi:type="dcterms:W3CDTF">2018-07-13T05:29:29Z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