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ind w:left="0" w:right="0" w:firstLine="0"/>
        <w:jc w:val="center"/>
        <w:rPr>
          <w:rFonts w:ascii="微软雅黑" w:hAnsi="微软雅黑" w:eastAsia="微软雅黑" w:cs="微软雅黑"/>
          <w:i w:val="0"/>
          <w:caps w:val="0"/>
          <w:color w:val="53812E"/>
          <w:spacing w:val="30"/>
          <w:sz w:val="24"/>
          <w:szCs w:val="24"/>
        </w:rPr>
      </w:pPr>
      <w:r>
        <w:rPr>
          <w:rFonts w:hint="eastAsia" w:ascii="微软雅黑" w:hAnsi="微软雅黑" w:eastAsia="微软雅黑" w:cs="微软雅黑"/>
          <w:i w:val="0"/>
          <w:caps w:val="0"/>
          <w:color w:val="53812E"/>
          <w:spacing w:val="30"/>
          <w:sz w:val="24"/>
          <w:szCs w:val="24"/>
          <w:bdr w:val="none" w:color="auto" w:sz="0" w:space="0"/>
          <w:shd w:val="clear" w:fill="FFFFFF"/>
        </w:rPr>
        <w:t>2021年全国硕士研究生招生考试中国农业大学报考点（1119）网上确认公告</w:t>
      </w:r>
    </w:p>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60" w:leftChars="0" w:right="300" w:rightChars="0"/>
        <w:jc w:val="center"/>
        <w:rPr>
          <w:color w:val="53812E"/>
          <w:sz w:val="18"/>
          <w:szCs w:val="18"/>
        </w:rPr>
      </w:pPr>
      <w:r>
        <w:rPr>
          <w:rFonts w:hint="eastAsia" w:ascii="微软雅黑" w:hAnsi="微软雅黑" w:eastAsia="微软雅黑" w:cs="微软雅黑"/>
          <w:i w:val="0"/>
          <w:caps w:val="0"/>
          <w:color w:val="53812E"/>
          <w:spacing w:val="0"/>
          <w:sz w:val="18"/>
          <w:szCs w:val="18"/>
          <w:bdr w:val="none" w:color="auto" w:sz="0" w:space="0"/>
          <w:shd w:val="clear" w:fill="FFFFFF"/>
        </w:rPr>
        <w:t>发布日期：2020-11-02</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r>
        <w:rPr>
          <w:rFonts w:hint="eastAsia" w:ascii="微软雅黑" w:hAnsi="微软雅黑" w:eastAsia="微软雅黑" w:cs="微软雅黑"/>
          <w:i w:val="0"/>
          <w:caps w:val="0"/>
          <w:color w:val="53812E"/>
          <w:spacing w:val="0"/>
          <w:sz w:val="18"/>
          <w:szCs w:val="18"/>
          <w:bdr w:val="none" w:color="auto" w:sz="0" w:space="0"/>
          <w:shd w:val="clear" w:fill="FFFFFF"/>
        </w:rPr>
        <w:t>浏览次数：1091</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left"/>
      </w:pPr>
      <w:r>
        <w:rPr>
          <w:rFonts w:hint="eastAsia" w:ascii="微软雅黑" w:hAnsi="微软雅黑" w:eastAsia="微软雅黑" w:cs="微软雅黑"/>
          <w:i w:val="0"/>
          <w:caps w:val="0"/>
          <w:color w:val="000000"/>
          <w:spacing w:val="0"/>
          <w:sz w:val="27"/>
          <w:szCs w:val="27"/>
          <w:bdr w:val="none" w:color="auto" w:sz="0" w:space="0"/>
          <w:shd w:val="clear" w:fill="FFFFFF"/>
        </w:rPr>
        <w:t>            </w:t>
      </w:r>
      <w:r>
        <w:rPr>
          <w:rFonts w:hint="eastAsia" w:ascii="微软雅黑" w:hAnsi="微软雅黑" w:eastAsia="微软雅黑" w:cs="微软雅黑"/>
          <w:i w:val="0"/>
          <w:caps w:val="0"/>
          <w:color w:val="000000"/>
          <w:spacing w:val="0"/>
          <w:sz w:val="28"/>
          <w:szCs w:val="28"/>
          <w:bdr w:val="none" w:color="auto" w:sz="0" w:space="0"/>
          <w:shd w:val="clear" w:fill="FFFFFF"/>
        </w:rPr>
        <w:t>全国硕士研究生招生考试报名流程包括网上报名和网上确认（或现场确认）两个阶段。网上报名已经结束，各报考点即将开始网上确认或现场确认工作。请各位考生关注报考点相关公告。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252" w:right="252" w:firstLine="5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8"/>
          <w:szCs w:val="28"/>
          <w:bdr w:val="none" w:color="auto" w:sz="0" w:space="0"/>
          <w:shd w:val="clear" w:fill="FFFFFF"/>
          <w:lang w:val="en-US" w:eastAsia="zh-CN" w:bidi="ar"/>
        </w:rPr>
        <w:t>中国农业大学报考点（考点代码1119）采用网上确认的方式，相关要求如下：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firstLine="560"/>
        <w:jc w:val="both"/>
      </w:pPr>
      <w:r>
        <w:rPr>
          <w:rStyle w:val="7"/>
          <w:rFonts w:ascii="黑体" w:hAnsi="宋体" w:eastAsia="黑体" w:cs="黑体"/>
          <w:b w:val="0"/>
          <w:i w:val="0"/>
          <w:caps w:val="0"/>
          <w:color w:val="000000"/>
          <w:spacing w:val="0"/>
          <w:sz w:val="28"/>
          <w:szCs w:val="28"/>
          <w:bdr w:val="none" w:color="auto" w:sz="0" w:space="0"/>
          <w:shd w:val="clear" w:fill="FFFFFF"/>
        </w:rPr>
        <w:t>一、</w:t>
      </w:r>
      <w:r>
        <w:rPr>
          <w:rStyle w:val="7"/>
          <w:rFonts w:hint="eastAsia" w:ascii="黑体" w:hAnsi="宋体" w:eastAsia="黑体" w:cs="黑体"/>
          <w:b w:val="0"/>
          <w:i w:val="0"/>
          <w:caps w:val="0"/>
          <w:color w:val="000000"/>
          <w:spacing w:val="0"/>
          <w:sz w:val="28"/>
          <w:szCs w:val="28"/>
          <w:bdr w:val="none" w:color="auto" w:sz="0" w:space="0"/>
          <w:shd w:val="clear" w:fill="FFFFFF"/>
        </w:rPr>
        <w:t>受理对象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（一）报考中国农业大学和中国农业机械化科学研究院，网上报名时选择中国农业大学报考点（1119），且已完成缴费的下列考生：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1.北京地区高校的应届考生；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2.有北京市户籍的往届考生；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3.在北京市工作的往届考生。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color w:val="000000"/>
          <w:spacing w:val="0"/>
          <w:sz w:val="28"/>
          <w:szCs w:val="28"/>
          <w:bdr w:val="none" w:color="auto" w:sz="0" w:space="0"/>
          <w:shd w:val="clear" w:fill="FFFFFF"/>
        </w:rPr>
        <w:t>（二）报考京外招生单位，网上报名时选择中国农业大学报考点（1119），且已完成缴费的本校应届本科毕业生。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二、确认方式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中国农业大学考点（1119）全国研究生招生考试网报信息确认采取网上确认方式。网上确认系统同时支持PC端和手机端。考生登陆页面后，输入学信网帐号、密码，核对本人网报信息、按要求上传相关材料照片后等待审核结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color w:val="000000"/>
          <w:spacing w:val="0"/>
          <w:sz w:val="28"/>
          <w:szCs w:val="28"/>
          <w:bdr w:val="none" w:color="auto" w:sz="0" w:space="0"/>
          <w:shd w:val="clear" w:fill="FFFFFF"/>
        </w:rPr>
        <w:t>网上系统网址：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spacing w:val="0"/>
          <w:sz w:val="28"/>
          <w:szCs w:val="28"/>
          <w:bdr w:val="none" w:color="auto" w:sz="0" w:space="0"/>
          <w:shd w:val="clear" w:fill="FFFFFF"/>
        </w:rPr>
        <w:fldChar w:fldCharType="begin"/>
      </w:r>
      <w:r>
        <w:rPr>
          <w:rFonts w:hint="eastAsia" w:ascii="微软雅黑" w:hAnsi="微软雅黑" w:eastAsia="微软雅黑" w:cs="微软雅黑"/>
          <w:b w:val="0"/>
          <w:i w:val="0"/>
          <w:caps w:val="0"/>
          <w:spacing w:val="0"/>
          <w:sz w:val="28"/>
          <w:szCs w:val="28"/>
          <w:bdr w:val="none" w:color="auto" w:sz="0" w:space="0"/>
          <w:shd w:val="clear" w:fill="FFFFFF"/>
        </w:rPr>
        <w:instrText xml:space="preserve"> HYPERLINK "https://yz.chsi.com.cn/wsqr/stu/" </w:instrText>
      </w:r>
      <w:r>
        <w:rPr>
          <w:rFonts w:hint="eastAsia" w:ascii="微软雅黑" w:hAnsi="微软雅黑" w:eastAsia="微软雅黑" w:cs="微软雅黑"/>
          <w:b w:val="0"/>
          <w:i w:val="0"/>
          <w:caps w:val="0"/>
          <w:spacing w:val="0"/>
          <w:sz w:val="28"/>
          <w:szCs w:val="28"/>
          <w:bdr w:val="none" w:color="auto" w:sz="0" w:space="0"/>
          <w:shd w:val="clear" w:fill="FFFFFF"/>
        </w:rPr>
        <w:fldChar w:fldCharType="separate"/>
      </w:r>
      <w:r>
        <w:rPr>
          <w:rStyle w:val="8"/>
          <w:rFonts w:hint="eastAsia" w:ascii="微软雅黑" w:hAnsi="微软雅黑" w:eastAsia="微软雅黑" w:cs="微软雅黑"/>
          <w:b w:val="0"/>
          <w:i w:val="0"/>
          <w:caps w:val="0"/>
          <w:spacing w:val="0"/>
          <w:sz w:val="28"/>
          <w:szCs w:val="28"/>
          <w:bdr w:val="none" w:color="auto" w:sz="0" w:space="0"/>
          <w:shd w:val="clear" w:fill="FFFFFF"/>
        </w:rPr>
        <w:t>https://yz.chsi.com.cn/wsqr/stu/</w:t>
      </w:r>
      <w:r>
        <w:rPr>
          <w:rFonts w:hint="eastAsia" w:ascii="微软雅黑" w:hAnsi="微软雅黑" w:eastAsia="微软雅黑" w:cs="微软雅黑"/>
          <w:b w:val="0"/>
          <w:i w:val="0"/>
          <w:caps w:val="0"/>
          <w:spacing w:val="0"/>
          <w:sz w:val="28"/>
          <w:szCs w:val="28"/>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color w:val="000000"/>
          <w:spacing w:val="0"/>
          <w:sz w:val="28"/>
          <w:szCs w:val="28"/>
          <w:bdr w:val="none" w:color="auto" w:sz="0" w:space="0"/>
          <w:shd w:val="clear" w:fill="FFFFFF"/>
        </w:rPr>
        <w:t>或用手机浏览器（非微信）扫描下方二维码：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center"/>
      </w:pPr>
      <w:r>
        <w:rPr>
          <w:rFonts w:hint="eastAsia" w:ascii="微软雅黑" w:hAnsi="微软雅黑" w:eastAsia="微软雅黑" w:cs="微软雅黑"/>
          <w:b w:val="0"/>
          <w:i w:val="0"/>
          <w:caps w:val="0"/>
          <w:color w:val="000000"/>
          <w:spacing w:val="0"/>
          <w:sz w:val="28"/>
          <w:szCs w:val="28"/>
          <w:bdr w:val="none" w:color="auto" w:sz="0" w:space="0"/>
          <w:shd w:val="clear" w:fill="FFFFFF"/>
        </w:rPr>
        <w:drawing>
          <wp:inline distT="0" distB="0" distL="114300" distR="114300">
            <wp:extent cx="2095500" cy="2095500"/>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4"/>
                    <a:stretch>
                      <a:fillRect/>
                    </a:stretch>
                  </pic:blipFill>
                  <pic:spPr>
                    <a:xfrm>
                      <a:off x="0" y="0"/>
                      <a:ext cx="2095500" cy="20955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2"/>
        <w:jc w:val="both"/>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27"/>
          <w:szCs w:val="27"/>
          <w:bdr w:val="none" w:color="auto" w:sz="0" w:space="0"/>
          <w:shd w:val="clear" w:fill="FFFFFF"/>
          <w:lang w:val="en-US" w:eastAsia="zh-CN" w:bidi="ar"/>
        </w:rPr>
        <w:t>三、网上确认安排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（一）初次上传材料时间：11月7日上午9:00—11月10日中午12:00。建议尽量不要在最后一天提交审核材料，以免因审核不通过没有充足的时间准备补充材料。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（二）上传材料后审核不通过考生，补充材料上传截止时间为11月10日下午16:00。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（三）考生须于上述规定时间通过网上确认平台，完成本人的“核对网报信息、上传本人准考证照片、上传身份证照片、上传手持身份证照片及其他相关材料照片”等手续，逾期不再补办。</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color w:val="000000"/>
          <w:spacing w:val="0"/>
          <w:sz w:val="28"/>
          <w:szCs w:val="28"/>
          <w:bdr w:val="none" w:color="auto" w:sz="0" w:space="0"/>
          <w:shd w:val="clear" w:fill="FFFFFF"/>
        </w:rPr>
        <w:t>（四）考生必须完成上述手续且考点审核通过，否则网上报名信息无效。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both"/>
        <w:rPr>
          <w:rFonts w:hint="eastAsia" w:ascii="微软雅黑" w:hAnsi="微软雅黑" w:eastAsia="微软雅黑" w:cs="微软雅黑"/>
          <w:i w:val="0"/>
          <w:caps w:val="0"/>
          <w:color w:val="000000"/>
          <w:spacing w:val="0"/>
          <w:sz w:val="27"/>
          <w:szCs w:val="27"/>
        </w:rPr>
      </w:pPr>
      <w:r>
        <w:rPr>
          <w:rFonts w:hint="eastAsia" w:ascii="黑体" w:hAnsi="宋体" w:eastAsia="黑体" w:cs="黑体"/>
          <w:b w:val="0"/>
          <w:i w:val="0"/>
          <w:caps w:val="0"/>
          <w:color w:val="000000"/>
          <w:spacing w:val="0"/>
          <w:kern w:val="0"/>
          <w:sz w:val="28"/>
          <w:szCs w:val="28"/>
          <w:bdr w:val="none" w:color="auto" w:sz="0" w:space="0"/>
          <w:shd w:val="clear" w:fill="FFFFFF"/>
          <w:lang w:val="en-US" w:eastAsia="zh-CN" w:bidi="ar"/>
        </w:rPr>
        <w:t>四、上传照片及其他材料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color w:val="000000"/>
          <w:spacing w:val="0"/>
          <w:sz w:val="28"/>
          <w:szCs w:val="28"/>
          <w:bdr w:val="none" w:color="auto" w:sz="0" w:space="0"/>
          <w:shd w:val="clear" w:fill="FFFFFF"/>
        </w:rPr>
        <w:t>（一）本人近三月内正面、免冠、无妆、彩色电子证件照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center"/>
      </w:pPr>
      <w:r>
        <w:rPr>
          <w:rFonts w:hint="eastAsia" w:ascii="微软雅黑" w:hAnsi="微软雅黑" w:eastAsia="微软雅黑" w:cs="微软雅黑"/>
          <w:b w:val="0"/>
          <w:i w:val="0"/>
          <w:caps w:val="0"/>
          <w:color w:val="000000"/>
          <w:spacing w:val="0"/>
          <w:sz w:val="28"/>
          <w:szCs w:val="28"/>
          <w:bdr w:val="none" w:color="auto" w:sz="0" w:space="0"/>
          <w:shd w:val="clear" w:fill="FFFFFF"/>
        </w:rPr>
        <w:drawing>
          <wp:inline distT="0" distB="0" distL="114300" distR="114300">
            <wp:extent cx="5495925" cy="4629150"/>
            <wp:effectExtent l="0" t="0" r="9525" b="0"/>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495925" cy="46291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val="0"/>
          <w:i w:val="0"/>
          <w:caps w:val="0"/>
          <w:color w:val="000000"/>
          <w:spacing w:val="0"/>
          <w:kern w:val="0"/>
          <w:sz w:val="28"/>
          <w:szCs w:val="28"/>
          <w:bdr w:val="none" w:color="auto" w:sz="0" w:space="0"/>
          <w:shd w:val="clear" w:fill="FFFFFF"/>
          <w:lang w:val="en-US" w:eastAsia="zh-CN" w:bidi="ar"/>
        </w:rPr>
        <w:t>（二）本人有效居民身份证原件正反面照片，分正、反面两张上传，请确保身份证边框完整，字迹清晰，亮度均匀。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b w:val="0"/>
          <w:i w:val="0"/>
          <w:caps w:val="0"/>
          <w:color w:val="000000"/>
          <w:spacing w:val="0"/>
          <w:sz w:val="28"/>
          <w:szCs w:val="28"/>
          <w:bdr w:val="none" w:color="auto" w:sz="0" w:space="0"/>
          <w:shd w:val="clear" w:fill="FFFFFF"/>
        </w:rPr>
        <w:t>（三）本人手持身份证照片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center"/>
      </w:pPr>
      <w:r>
        <w:rPr>
          <w:rFonts w:hint="eastAsia" w:ascii="微软雅黑" w:hAnsi="微软雅黑" w:eastAsia="微软雅黑" w:cs="微软雅黑"/>
          <w:b w:val="0"/>
          <w:i w:val="0"/>
          <w:caps w:val="0"/>
          <w:color w:val="000000"/>
          <w:spacing w:val="0"/>
          <w:sz w:val="28"/>
          <w:szCs w:val="28"/>
          <w:bdr w:val="none" w:color="auto" w:sz="0" w:space="0"/>
          <w:shd w:val="clear" w:fill="FFFFFF"/>
        </w:rPr>
        <w:drawing>
          <wp:inline distT="0" distB="0" distL="114300" distR="114300">
            <wp:extent cx="5438775" cy="4067175"/>
            <wp:effectExtent l="0" t="0" r="9525" b="952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5438775" cy="406717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0"/>
        <w:jc w:val="both"/>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rPr>
          <w:rFonts w:hint="eastAsia" w:ascii="微软雅黑" w:hAnsi="微软雅黑" w:eastAsia="微软雅黑" w:cs="微软雅黑"/>
          <w:b w:val="0"/>
          <w:i w:val="0"/>
          <w:caps w:val="0"/>
          <w:color w:val="000000"/>
          <w:spacing w:val="0"/>
          <w:sz w:val="28"/>
          <w:szCs w:val="28"/>
          <w:bdr w:val="none" w:color="auto" w:sz="0" w:space="0"/>
          <w:shd w:val="clear" w:fill="FFFFFF"/>
        </w:rPr>
      </w:pPr>
      <w:r>
        <w:rPr>
          <w:rFonts w:hint="eastAsia" w:ascii="微软雅黑" w:hAnsi="微软雅黑" w:eastAsia="微软雅黑" w:cs="微软雅黑"/>
          <w:b w:val="0"/>
          <w:i w:val="0"/>
          <w:caps w:val="0"/>
          <w:color w:val="000000"/>
          <w:spacing w:val="0"/>
          <w:sz w:val="28"/>
          <w:szCs w:val="28"/>
          <w:bdr w:val="none" w:color="auto" w:sz="0" w:space="0"/>
          <w:shd w:val="clear" w:fill="FFFFFF"/>
        </w:rPr>
        <w:t>其他材料</w:t>
      </w:r>
    </w:p>
    <w:p>
      <w:pPr>
        <w:pStyle w:val="4"/>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ind w:right="150" w:rightChars="0"/>
        <w:jc w:val="both"/>
        <w:rPr>
          <w:rFonts w:hint="eastAsia" w:ascii="微软雅黑" w:hAnsi="微软雅黑" w:eastAsia="微软雅黑" w:cs="微软雅黑"/>
          <w:b w:val="0"/>
          <w:i w:val="0"/>
          <w:caps w:val="0"/>
          <w:color w:val="000000"/>
          <w:spacing w:val="0"/>
          <w:sz w:val="28"/>
          <w:szCs w:val="28"/>
          <w:bdr w:val="none" w:color="auto" w:sz="0" w:space="0"/>
          <w:shd w:val="clear" w:fill="FFFFFF"/>
        </w:rPr>
      </w:pPr>
    </w:p>
    <w:p>
      <w:pPr>
        <w:pStyle w:val="4"/>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ind w:right="150" w:rightChars="0"/>
        <w:jc w:val="both"/>
        <w:rPr>
          <w:rFonts w:hint="eastAsia" w:ascii="微软雅黑" w:hAnsi="微软雅黑" w:eastAsia="微软雅黑" w:cs="微软雅黑"/>
          <w:b w:val="0"/>
          <w:i w:val="0"/>
          <w:caps w:val="0"/>
          <w:color w:val="000000"/>
          <w:spacing w:val="0"/>
          <w:sz w:val="28"/>
          <w:szCs w:val="28"/>
          <w:bdr w:val="none" w:color="auto" w:sz="0" w:space="0"/>
          <w:shd w:val="clear" w:fill="FFFFFF"/>
        </w:rPr>
      </w:pPr>
    </w:p>
    <w:p>
      <w:pPr>
        <w:pStyle w:val="4"/>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ind w:right="150" w:rightChars="0"/>
        <w:jc w:val="both"/>
        <w:rPr>
          <w:rFonts w:hint="eastAsia" w:ascii="微软雅黑" w:hAnsi="微软雅黑" w:eastAsia="微软雅黑" w:cs="微软雅黑"/>
          <w:b w:val="0"/>
          <w:i w:val="0"/>
          <w:caps w:val="0"/>
          <w:color w:val="000000"/>
          <w:spacing w:val="0"/>
          <w:sz w:val="28"/>
          <w:szCs w:val="28"/>
          <w:bdr w:val="none" w:color="auto" w:sz="0" w:space="0"/>
          <w:shd w:val="clear" w:fill="FFFFFF"/>
        </w:rPr>
      </w:pPr>
    </w:p>
    <w:p>
      <w:pPr>
        <w:pStyle w:val="4"/>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ind w:right="150" w:rightChars="0"/>
        <w:jc w:val="both"/>
        <w:rPr>
          <w:rFonts w:hint="eastAsia" w:ascii="微软雅黑" w:hAnsi="微软雅黑" w:eastAsia="微软雅黑" w:cs="微软雅黑"/>
          <w:b w:val="0"/>
          <w:i w:val="0"/>
          <w:caps w:val="0"/>
          <w:color w:val="000000"/>
          <w:spacing w:val="0"/>
          <w:sz w:val="28"/>
          <w:szCs w:val="28"/>
          <w:bdr w:val="none" w:color="auto" w:sz="0" w:space="0"/>
          <w:shd w:val="clear" w:fill="FFFFFF"/>
        </w:rPr>
      </w:pPr>
    </w:p>
    <w:p>
      <w:pPr>
        <w:pStyle w:val="4"/>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150" w:beforeAutospacing="0" w:after="150" w:afterAutospacing="0"/>
        <w:ind w:right="150" w:rightChars="0"/>
        <w:jc w:val="both"/>
        <w:rPr>
          <w:rFonts w:hint="eastAsia" w:ascii="微软雅黑" w:hAnsi="微软雅黑" w:eastAsia="微软雅黑" w:cs="微软雅黑"/>
          <w:b w:val="0"/>
          <w:i w:val="0"/>
          <w:caps w:val="0"/>
          <w:color w:val="000000"/>
          <w:spacing w:val="0"/>
          <w:sz w:val="28"/>
          <w:szCs w:val="28"/>
          <w:bdr w:val="none" w:color="auto" w:sz="0" w:space="0"/>
          <w:shd w:val="clear" w:fill="FFFFFF"/>
        </w:rPr>
      </w:pPr>
      <w:bookmarkStart w:id="0" w:name="_GoBack"/>
      <w:bookmarkEnd w:id="0"/>
    </w:p>
    <w:tbl>
      <w:tblPr>
        <w:tblW w:w="9805" w:type="dxa"/>
        <w:tblInd w:w="0" w:type="dxa"/>
        <w:shd w:val="clear"/>
        <w:tblLayout w:type="fixed"/>
        <w:tblCellMar>
          <w:top w:w="0" w:type="dxa"/>
          <w:left w:w="0" w:type="dxa"/>
          <w:bottom w:w="0" w:type="dxa"/>
          <w:right w:w="0" w:type="dxa"/>
        </w:tblCellMar>
      </w:tblPr>
      <w:tblGrid>
        <w:gridCol w:w="2040"/>
        <w:gridCol w:w="7765"/>
      </w:tblGrid>
      <w:tr>
        <w:tblPrEx>
          <w:shd w:val="clear"/>
          <w:tblLayout w:type="fixed"/>
          <w:tblCellMar>
            <w:top w:w="0" w:type="dxa"/>
            <w:left w:w="0" w:type="dxa"/>
            <w:bottom w:w="0" w:type="dxa"/>
            <w:right w:w="0" w:type="dxa"/>
          </w:tblCellMar>
        </w:tblPrEx>
        <w:trPr>
          <w:trHeight w:val="327" w:hRule="atLeast"/>
        </w:trPr>
        <w:tc>
          <w:tcPr>
            <w:tcW w:w="204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类别</w:t>
            </w:r>
          </w:p>
        </w:tc>
        <w:tc>
          <w:tcPr>
            <w:tcW w:w="7765"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材料要求</w:t>
            </w:r>
          </w:p>
        </w:tc>
      </w:tr>
      <w:tr>
        <w:tblPrEx>
          <w:shd w:val="clear"/>
          <w:tblLayout w:type="fixed"/>
          <w:tblCellMar>
            <w:top w:w="0" w:type="dxa"/>
            <w:left w:w="0" w:type="dxa"/>
            <w:bottom w:w="0" w:type="dxa"/>
            <w:right w:w="0" w:type="dxa"/>
          </w:tblCellMar>
        </w:tblPrEx>
        <w:trPr>
          <w:trHeight w:val="639" w:hRule="atLeast"/>
        </w:trPr>
        <w:tc>
          <w:tcPr>
            <w:tcW w:w="204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所有应届考生</w:t>
            </w:r>
          </w:p>
        </w:tc>
        <w:tc>
          <w:tcPr>
            <w:tcW w:w="7765"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上传《学生证》封面及个人信息页图片文件，或“中国高等教育学生信息网”的《教育部学籍在线验证报告》。</w:t>
            </w:r>
          </w:p>
        </w:tc>
      </w:tr>
      <w:tr>
        <w:tblPrEx>
          <w:shd w:val="clear"/>
          <w:tblLayout w:type="fixed"/>
          <w:tblCellMar>
            <w:top w:w="0" w:type="dxa"/>
            <w:left w:w="0" w:type="dxa"/>
            <w:bottom w:w="0" w:type="dxa"/>
            <w:right w:w="0" w:type="dxa"/>
          </w:tblCellMar>
        </w:tblPrEx>
        <w:trPr>
          <w:trHeight w:val="639" w:hRule="atLeast"/>
        </w:trPr>
        <w:tc>
          <w:tcPr>
            <w:tcW w:w="204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所有往届考生</w:t>
            </w:r>
          </w:p>
        </w:tc>
        <w:tc>
          <w:tcPr>
            <w:tcW w:w="7765"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上传毕业证书（以硕士或者博士身份报考则提供硕士或者博士学位证书）照片或“中国高等教育学生信息网”的《教育部学历在线验证报告》</w:t>
            </w:r>
          </w:p>
        </w:tc>
      </w:tr>
      <w:tr>
        <w:tblPrEx>
          <w:shd w:val="clear"/>
          <w:tblLayout w:type="fixed"/>
          <w:tblCellMar>
            <w:top w:w="0" w:type="dxa"/>
            <w:left w:w="0" w:type="dxa"/>
            <w:bottom w:w="0" w:type="dxa"/>
            <w:right w:w="0" w:type="dxa"/>
          </w:tblCellMar>
        </w:tblPrEx>
        <w:trPr>
          <w:trHeight w:val="639" w:hRule="atLeast"/>
        </w:trPr>
        <w:tc>
          <w:tcPr>
            <w:tcW w:w="204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户籍在京往届生</w:t>
            </w:r>
          </w:p>
        </w:tc>
        <w:tc>
          <w:tcPr>
            <w:tcW w:w="7765"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上传户口本首页（公安部门盖章页）及本人信息页照片（集体户口提供首页及个人单页，首页须有户口单位盖章），也可提供由公安部门出具的户籍证明原件照片</w:t>
            </w:r>
          </w:p>
        </w:tc>
      </w:tr>
      <w:tr>
        <w:tblPrEx>
          <w:tblLayout w:type="fixed"/>
          <w:tblCellMar>
            <w:top w:w="0" w:type="dxa"/>
            <w:left w:w="0" w:type="dxa"/>
            <w:bottom w:w="0" w:type="dxa"/>
            <w:right w:w="0" w:type="dxa"/>
          </w:tblCellMar>
        </w:tblPrEx>
        <w:trPr>
          <w:trHeight w:val="639" w:hRule="atLeast"/>
        </w:trPr>
        <w:tc>
          <w:tcPr>
            <w:tcW w:w="204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非京籍但工作在京往届生</w:t>
            </w:r>
          </w:p>
        </w:tc>
        <w:tc>
          <w:tcPr>
            <w:tcW w:w="7765"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上传社保卡正、反面，以及在京连续6个月（含）以上社保记录。</w:t>
            </w:r>
          </w:p>
        </w:tc>
      </w:tr>
      <w:tr>
        <w:tblPrEx>
          <w:shd w:val="clear"/>
          <w:tblLayout w:type="fixed"/>
          <w:tblCellMar>
            <w:top w:w="0" w:type="dxa"/>
            <w:left w:w="0" w:type="dxa"/>
            <w:bottom w:w="0" w:type="dxa"/>
            <w:right w:w="0" w:type="dxa"/>
          </w:tblCellMar>
        </w:tblPrEx>
        <w:trPr>
          <w:trHeight w:val="639" w:hRule="atLeast"/>
        </w:trPr>
        <w:tc>
          <w:tcPr>
            <w:tcW w:w="2040"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退役大学生士兵专项考生</w:t>
            </w:r>
          </w:p>
        </w:tc>
        <w:tc>
          <w:tcPr>
            <w:tcW w:w="7765"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上传本人的《入伍批准书》（即男性/女性公民应征入伍批准书、A4竖版单页样式）和《退出现役证》原件的照片。</w:t>
            </w:r>
          </w:p>
        </w:tc>
      </w:tr>
      <w:tr>
        <w:tblPrEx>
          <w:shd w:val="clear"/>
          <w:tblLayout w:type="fixed"/>
          <w:tblCellMar>
            <w:top w:w="0" w:type="dxa"/>
            <w:left w:w="0" w:type="dxa"/>
            <w:bottom w:w="0" w:type="dxa"/>
            <w:right w:w="0" w:type="dxa"/>
          </w:tblCellMar>
        </w:tblPrEx>
        <w:trPr>
          <w:trHeight w:val="327" w:hRule="atLeast"/>
        </w:trPr>
        <w:tc>
          <w:tcPr>
            <w:tcW w:w="2040" w:type="dxa"/>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学籍学历校验不通过考生</w:t>
            </w:r>
          </w:p>
        </w:tc>
        <w:tc>
          <w:tcPr>
            <w:tcW w:w="7765" w:type="dxa"/>
            <w:tcBorders>
              <w:top w:val="nil"/>
              <w:left w:val="nil"/>
              <w:bottom w:val="nil"/>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分情况上传相关材料：</w:t>
            </w:r>
          </w:p>
        </w:tc>
      </w:tr>
      <w:tr>
        <w:tblPrEx>
          <w:shd w:val="clear"/>
          <w:tblLayout w:type="fixed"/>
          <w:tblCellMar>
            <w:top w:w="0" w:type="dxa"/>
            <w:left w:w="0" w:type="dxa"/>
            <w:bottom w:w="0" w:type="dxa"/>
            <w:right w:w="0" w:type="dxa"/>
          </w:tblCellMar>
        </w:tblPrEx>
        <w:trPr>
          <w:trHeight w:val="951" w:hRule="atLeast"/>
        </w:trPr>
        <w:tc>
          <w:tcPr>
            <w:tcW w:w="2040" w:type="dxa"/>
            <w:vMerge w:val="continue"/>
            <w:tcBorders>
              <w:top w:val="nil"/>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7765" w:type="dxa"/>
            <w:tcBorders>
              <w:top w:val="nil"/>
              <w:left w:val="nil"/>
              <w:bottom w:val="nil"/>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1.网报时未通过学籍校验，但2021年新生入学前可取得国家承认本科毕业证书的自学考试或网络教育考生，须提供由颁发毕业证书的教育机构或高校出具的成绩单（盖章）原件照片。</w:t>
            </w:r>
          </w:p>
        </w:tc>
      </w:tr>
      <w:tr>
        <w:tblPrEx>
          <w:tblLayout w:type="fixed"/>
          <w:tblCellMar>
            <w:top w:w="0" w:type="dxa"/>
            <w:left w:w="0" w:type="dxa"/>
            <w:bottom w:w="0" w:type="dxa"/>
            <w:right w:w="0" w:type="dxa"/>
          </w:tblCellMar>
        </w:tblPrEx>
        <w:trPr>
          <w:trHeight w:val="639" w:hRule="atLeast"/>
        </w:trPr>
        <w:tc>
          <w:tcPr>
            <w:tcW w:w="2040" w:type="dxa"/>
            <w:vMerge w:val="continue"/>
            <w:tcBorders>
              <w:top w:val="nil"/>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7765" w:type="dxa"/>
            <w:tcBorders>
              <w:top w:val="nil"/>
              <w:left w:val="nil"/>
              <w:bottom w:val="nil"/>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2.网报时未通过学历（学籍）校验的其他类别考生，须在学信网申请电子认证或者现场认证，并上传认证报告照片。</w:t>
            </w:r>
          </w:p>
        </w:tc>
      </w:tr>
      <w:tr>
        <w:tblPrEx>
          <w:tblLayout w:type="fixed"/>
          <w:tblCellMar>
            <w:top w:w="0" w:type="dxa"/>
            <w:left w:w="0" w:type="dxa"/>
            <w:bottom w:w="0" w:type="dxa"/>
            <w:right w:w="0" w:type="dxa"/>
          </w:tblCellMar>
        </w:tblPrEx>
        <w:trPr>
          <w:trHeight w:val="951" w:hRule="atLeast"/>
        </w:trPr>
        <w:tc>
          <w:tcPr>
            <w:tcW w:w="2040" w:type="dxa"/>
            <w:vMerge w:val="continue"/>
            <w:tcBorders>
              <w:top w:val="nil"/>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7765" w:type="dxa"/>
            <w:tcBorders>
              <w:top w:val="nil"/>
              <w:left w:val="nil"/>
              <w:bottom w:val="nil"/>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3.因更改姓名或身份证号导致的学历（学籍）校验未通过的考生，除上传电子认证报告外，还须提供具有更改记录的户口本（簿）或公安机关开具的相关证明原件照片。</w:t>
            </w:r>
          </w:p>
        </w:tc>
      </w:tr>
      <w:tr>
        <w:tblPrEx>
          <w:tblLayout w:type="fixed"/>
          <w:tblCellMar>
            <w:top w:w="0" w:type="dxa"/>
            <w:left w:w="0" w:type="dxa"/>
            <w:bottom w:w="0" w:type="dxa"/>
            <w:right w:w="0" w:type="dxa"/>
          </w:tblCellMar>
        </w:tblPrEx>
        <w:trPr>
          <w:trHeight w:val="327" w:hRule="atLeast"/>
        </w:trPr>
        <w:tc>
          <w:tcPr>
            <w:tcW w:w="2040" w:type="dxa"/>
            <w:vMerge w:val="continue"/>
            <w:tcBorders>
              <w:top w:val="nil"/>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7765" w:type="dxa"/>
            <w:tcBorders>
              <w:top w:val="nil"/>
              <w:left w:val="nil"/>
              <w:bottom w:val="nil"/>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4.在境外获得学位证书的考生需提供教育部留学服务中心出具的认证报告照片。</w:t>
            </w:r>
          </w:p>
        </w:tc>
      </w:tr>
      <w:tr>
        <w:tblPrEx>
          <w:shd w:val="clear"/>
          <w:tblLayout w:type="fixed"/>
          <w:tblCellMar>
            <w:top w:w="0" w:type="dxa"/>
            <w:left w:w="0" w:type="dxa"/>
            <w:bottom w:w="0" w:type="dxa"/>
            <w:right w:w="0" w:type="dxa"/>
          </w:tblCellMar>
        </w:tblPrEx>
        <w:trPr>
          <w:trHeight w:val="639" w:hRule="atLeast"/>
        </w:trPr>
        <w:tc>
          <w:tcPr>
            <w:tcW w:w="2040" w:type="dxa"/>
            <w:vMerge w:val="continue"/>
            <w:tcBorders>
              <w:top w:val="nil"/>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7765" w:type="dxa"/>
            <w:tcBorders>
              <w:top w:val="nil"/>
              <w:left w:val="nil"/>
              <w:bottom w:val="nil"/>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5.录取当年入学前方可获得教育部留学服务中心出具的《国（境）外学历学位认证书》的考生，须提供境外高校近期提供的成绩单或者在读证明。</w:t>
            </w:r>
          </w:p>
        </w:tc>
      </w:tr>
      <w:tr>
        <w:tblPrEx>
          <w:tblLayout w:type="fixed"/>
          <w:tblCellMar>
            <w:top w:w="0" w:type="dxa"/>
            <w:left w:w="0" w:type="dxa"/>
            <w:bottom w:w="0" w:type="dxa"/>
            <w:right w:w="0" w:type="dxa"/>
          </w:tblCellMar>
        </w:tblPrEx>
        <w:trPr>
          <w:trHeight w:val="327" w:hRule="atLeast"/>
        </w:trPr>
        <w:tc>
          <w:tcPr>
            <w:tcW w:w="2040" w:type="dxa"/>
            <w:vMerge w:val="continue"/>
            <w:tcBorders>
              <w:top w:val="nil"/>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7765"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宋体" w:hAnsi="宋体" w:eastAsia="宋体" w:cs="宋体"/>
                <w:kern w:val="0"/>
                <w:sz w:val="24"/>
                <w:szCs w:val="24"/>
                <w:bdr w:val="none" w:color="auto" w:sz="0" w:space="0"/>
                <w:lang w:val="en-US" w:eastAsia="zh-CN" w:bidi="ar"/>
              </w:rPr>
              <w:t>6.在校研究生，须提供由研究生就读单位研究生管理部门出具的同意报考证明。</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left"/>
      </w:pPr>
      <w:r>
        <w:rPr>
          <w:rStyle w:val="7"/>
          <w:rFonts w:hint="eastAsia" w:ascii="微软雅黑" w:hAnsi="微软雅黑" w:eastAsia="微软雅黑" w:cs="微软雅黑"/>
          <w:b/>
          <w:i w:val="0"/>
          <w:caps w:val="0"/>
          <w:color w:val="000000"/>
          <w:spacing w:val="0"/>
          <w:sz w:val="28"/>
          <w:szCs w:val="28"/>
          <w:bdr w:val="none" w:color="auto" w:sz="0" w:space="0"/>
          <w:shd w:val="clear" w:fill="FFFFFF"/>
        </w:rPr>
        <w:t>特别提醒：</w:t>
      </w:r>
      <w:r>
        <w:rPr>
          <w:rFonts w:hint="eastAsia" w:ascii="微软雅黑" w:hAnsi="微软雅黑" w:eastAsia="微软雅黑" w:cs="微软雅黑"/>
          <w:i w:val="0"/>
          <w:caps w:val="0"/>
          <w:color w:val="000000"/>
          <w:spacing w:val="0"/>
          <w:sz w:val="28"/>
          <w:szCs w:val="28"/>
          <w:bdr w:val="none" w:color="auto" w:sz="0" w:space="0"/>
          <w:shd w:val="clear" w:fill="FFFFFF"/>
        </w:rPr>
        <w:t>考生提交的材料务必真实、有效，如有提供虚假材料，导致不能考试、录取的责任由考生本人承担。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both"/>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28"/>
          <w:szCs w:val="28"/>
          <w:bdr w:val="none" w:color="auto" w:sz="0" w:space="0"/>
          <w:shd w:val="clear" w:fill="FFFFFF"/>
          <w:lang w:val="en-US" w:eastAsia="zh-CN" w:bidi="ar"/>
        </w:rPr>
        <w:t>五、审核结果反馈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8"/>
          <w:szCs w:val="28"/>
          <w:bdr w:val="none" w:color="auto" w:sz="0" w:space="0"/>
          <w:shd w:val="clear" w:fill="FFFFFF"/>
          <w:lang w:val="en-US" w:eastAsia="zh-CN" w:bidi="ar"/>
        </w:rPr>
        <w:t>（一）审核结果一般在36小时内通过确认系统反馈（提交材料考生人数过多及特殊情况除外），请考生及时登录确认系统查询审核结果，同时，审核系统将通过短信和站内信提醒考生。站内信查收方式见下图：</w:t>
      </w:r>
    </w:p>
    <w:tbl>
      <w:tblPr>
        <w:tblW w:w="8334" w:type="dxa"/>
        <w:jc w:val="center"/>
        <w:tblCellSpacing w:w="7" w:type="dxa"/>
        <w:tblInd w:w="1" w:type="dxa"/>
        <w:shd w:val="clear"/>
        <w:tblLayout w:type="fixed"/>
        <w:tblCellMar>
          <w:top w:w="0" w:type="dxa"/>
          <w:left w:w="0" w:type="dxa"/>
          <w:bottom w:w="0" w:type="dxa"/>
          <w:right w:w="0" w:type="dxa"/>
        </w:tblCellMar>
      </w:tblPr>
      <w:tblGrid>
        <w:gridCol w:w="8334"/>
      </w:tblGrid>
      <w:tr>
        <w:tblPrEx>
          <w:shd w:val="clear"/>
          <w:tblLayout w:type="fixed"/>
          <w:tblCellMar>
            <w:top w:w="0" w:type="dxa"/>
            <w:left w:w="0" w:type="dxa"/>
            <w:bottom w:w="0" w:type="dxa"/>
            <w:right w:w="0" w:type="dxa"/>
          </w:tblCellMar>
        </w:tblPrEx>
        <w:trPr>
          <w:tblCellSpacing w:w="7" w:type="dxa"/>
          <w:jc w:val="center"/>
        </w:trPr>
        <w:tc>
          <w:tcPr>
            <w:tcW w:w="8304" w:type="dxa"/>
            <w:shd w:val="clear"/>
            <w:tcMar>
              <w:top w:w="0"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drawing>
                <wp:inline distT="0" distB="0" distL="114300" distR="114300">
                  <wp:extent cx="5486400" cy="1914525"/>
                  <wp:effectExtent l="0" t="0" r="0" b="9525"/>
                  <wp:docPr id="2"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9"/>
                          <pic:cNvPicPr>
                            <a:picLocks noChangeAspect="1"/>
                          </pic:cNvPicPr>
                        </pic:nvPicPr>
                        <pic:blipFill>
                          <a:blip r:embed="rId7"/>
                          <a:stretch>
                            <a:fillRect/>
                          </a:stretch>
                        </pic:blipFill>
                        <pic:spPr>
                          <a:xfrm>
                            <a:off x="0" y="0"/>
                            <a:ext cx="5486400" cy="1914525"/>
                          </a:xfrm>
                          <a:prstGeom prst="rect">
                            <a:avLst/>
                          </a:prstGeom>
                          <a:noFill/>
                          <a:ln w="9525">
                            <a:noFill/>
                          </a:ln>
                        </pic:spPr>
                      </pic:pic>
                    </a:graphicData>
                  </a:graphic>
                </wp:inline>
              </w:drawing>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left"/>
      </w:pPr>
      <w:r>
        <w:rPr>
          <w:rFonts w:hint="eastAsia" w:ascii="微软雅黑" w:hAnsi="微软雅黑" w:eastAsia="微软雅黑" w:cs="微软雅黑"/>
          <w:i w:val="0"/>
          <w:caps w:val="0"/>
          <w:color w:val="000000"/>
          <w:spacing w:val="0"/>
          <w:sz w:val="28"/>
          <w:szCs w:val="28"/>
          <w:bdr w:val="none" w:color="auto" w:sz="0" w:space="0"/>
          <w:shd w:val="clear" w:fill="FFFFFF"/>
        </w:rPr>
        <w:t>（二）系统反馈“审核通过”的考生说明考生顺利完成了2021年研究生报名信息确认工作。凡是提示“审核不通过”的考生请根据提示内容在规定时间内补充材料，逾期不补充或者补充仍然不符合要求者，则无法完成网上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jc w:val="left"/>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kern w:val="0"/>
          <w:sz w:val="28"/>
          <w:szCs w:val="28"/>
          <w:bdr w:val="none" w:color="auto" w:sz="0" w:space="0"/>
          <w:shd w:val="clear" w:fill="FFFFFF"/>
          <w:lang w:val="en-US" w:eastAsia="zh-CN" w:bidi="ar"/>
        </w:rPr>
        <w:t>六、注意事项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8"/>
          <w:szCs w:val="28"/>
          <w:bdr w:val="none" w:color="auto" w:sz="0" w:space="0"/>
          <w:shd w:val="clear" w:fill="FFFFFF"/>
          <w:lang w:val="en-US" w:eastAsia="zh-CN" w:bidi="ar"/>
        </w:rPr>
        <w:t>（一）考生须确保填报及上传的所有信息的真实性和准确性，如有弄虚作假，一经发现，取消其报名资格，如因误填、错填或虚假填报造成不能确认或考试的，后果由考生本人承担。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150" w:right="150" w:firstLine="5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8"/>
          <w:szCs w:val="28"/>
          <w:bdr w:val="none" w:color="auto" w:sz="0" w:space="0"/>
          <w:shd w:val="clear" w:fill="FFFFFF"/>
          <w:lang w:val="en-US" w:eastAsia="zh-CN" w:bidi="ar"/>
        </w:rPr>
        <w:t>（二）</w:t>
      </w:r>
      <w:r>
        <w:rPr>
          <w:rFonts w:hint="eastAsia" w:ascii="微软雅黑" w:hAnsi="微软雅黑" w:eastAsia="微软雅黑" w:cs="微软雅黑"/>
          <w:i w:val="0"/>
          <w:caps w:val="0"/>
          <w:color w:val="000000"/>
          <w:spacing w:val="5"/>
          <w:kern w:val="0"/>
          <w:sz w:val="28"/>
          <w:szCs w:val="28"/>
          <w:bdr w:val="none" w:color="auto" w:sz="0" w:space="0"/>
          <w:shd w:val="clear" w:fill="FFFFFF"/>
          <w:lang w:val="en-US" w:eastAsia="zh-CN" w:bidi="ar"/>
        </w:rPr>
        <w:t>网上确认期间不能修改考生报名信息。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150" w:right="150" w:firstLine="560"/>
        <w:jc w:val="left"/>
      </w:pPr>
      <w:r>
        <w:rPr>
          <w:rFonts w:hint="eastAsia" w:ascii="微软雅黑" w:hAnsi="微软雅黑" w:eastAsia="微软雅黑" w:cs="微软雅黑"/>
          <w:i w:val="0"/>
          <w:caps w:val="0"/>
          <w:color w:val="000000"/>
          <w:spacing w:val="0"/>
          <w:sz w:val="28"/>
          <w:szCs w:val="28"/>
          <w:bdr w:val="none" w:color="auto" w:sz="0" w:space="0"/>
          <w:shd w:val="clear" w:fill="FFFFFF"/>
        </w:rPr>
        <w:t>（三）</w:t>
      </w:r>
      <w:r>
        <w:rPr>
          <w:rFonts w:hint="eastAsia" w:ascii="微软雅黑" w:hAnsi="微软雅黑" w:eastAsia="微软雅黑" w:cs="微软雅黑"/>
          <w:i w:val="0"/>
          <w:caps w:val="0"/>
          <w:color w:val="333333"/>
          <w:spacing w:val="0"/>
          <w:sz w:val="28"/>
          <w:szCs w:val="28"/>
          <w:bdr w:val="none" w:color="auto" w:sz="0" w:space="0"/>
          <w:shd w:val="clear" w:fill="FFFFFF"/>
        </w:rPr>
        <w:t>报考点咨询电话：</w:t>
      </w:r>
      <w:r>
        <w:rPr>
          <w:rFonts w:hint="eastAsia" w:ascii="微软雅黑" w:hAnsi="微软雅黑" w:eastAsia="微软雅黑" w:cs="微软雅黑"/>
          <w:i w:val="0"/>
          <w:caps w:val="0"/>
          <w:color w:val="333333"/>
          <w:spacing w:val="5"/>
          <w:sz w:val="28"/>
          <w:szCs w:val="28"/>
          <w:bdr w:val="none" w:color="auto" w:sz="0" w:space="0"/>
          <w:shd w:val="clear" w:fill="FFFFFF"/>
        </w:rPr>
        <w:t>010-62732880，邮箱cauyzb@cau.edu.cn，地点：北京市海淀区圆明园西路2号中国农业大学西校区主楼二层会议室。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CD2015"/>
    <w:multiLevelType w:val="singleLevel"/>
    <w:tmpl w:val="92CD201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7E4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2020-11-04T10:08:06Z</dcterms:created>
  <dc:creator>SUCCESS</dc:creator>
  <cp:lastModifiedBy>晴空</cp:lastModifiedBy>
  <dcterms:modified xsi:type="dcterms:W3CDTF">2020-11-04T10:09:24Z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